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9F8" w:rsidRDefault="000119F8" w:rsidP="000119F8">
      <w:pPr>
        <w:rPr>
          <w:b/>
          <w:sz w:val="24"/>
          <w:szCs w:val="24"/>
          <w:lang w:val="lt-LT"/>
        </w:rPr>
      </w:pPr>
    </w:p>
    <w:p w:rsidR="000119F8" w:rsidRDefault="000119F8" w:rsidP="000119F8">
      <w:pPr>
        <w:pStyle w:val="Antrat1"/>
        <w:jc w:val="left"/>
        <w:rPr>
          <w:rFonts w:ascii="Times New Roman" w:hAnsi="Times New Roman"/>
          <w:caps/>
        </w:rPr>
      </w:pPr>
      <w:r>
        <w:rPr>
          <w:rFonts w:ascii="Times New Roman" w:hAnsi="Times New Roman"/>
          <w:caps/>
          <w:noProof/>
          <w:lang w:eastAsia="lt-LT"/>
        </w:rPr>
        <w:drawing>
          <wp:anchor distT="0" distB="0" distL="114300" distR="114300" simplePos="0" relativeHeight="251659264" behindDoc="0" locked="0" layoutInCell="1" allowOverlap="1" wp14:anchorId="2CED3E44" wp14:editId="247A79EA">
            <wp:simplePos x="0" y="0"/>
            <wp:positionH relativeFrom="column">
              <wp:posOffset>2628900</wp:posOffset>
            </wp:positionH>
            <wp:positionV relativeFrom="paragraph">
              <wp:posOffset>-118110</wp:posOffset>
            </wp:positionV>
            <wp:extent cx="571500" cy="683895"/>
            <wp:effectExtent l="0" t="0" r="0" b="1905"/>
            <wp:wrapSquare wrapText="left"/>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3895"/>
                    </a:xfrm>
                    <a:prstGeom prst="rect">
                      <a:avLst/>
                    </a:prstGeom>
                    <a:noFill/>
                  </pic:spPr>
                </pic:pic>
              </a:graphicData>
            </a:graphic>
            <wp14:sizeRelH relativeFrom="page">
              <wp14:pctWidth>0</wp14:pctWidth>
            </wp14:sizeRelH>
            <wp14:sizeRelV relativeFrom="page">
              <wp14:pctHeight>0</wp14:pctHeight>
            </wp14:sizeRelV>
          </wp:anchor>
        </w:drawing>
      </w:r>
    </w:p>
    <w:p w:rsidR="000119F8" w:rsidRDefault="000119F8" w:rsidP="000119F8">
      <w:pPr>
        <w:pStyle w:val="Antrat1"/>
        <w:rPr>
          <w:rFonts w:ascii="Times New Roman" w:hAnsi="Times New Roman"/>
          <w:caps/>
        </w:rPr>
      </w:pPr>
    </w:p>
    <w:p w:rsidR="000119F8" w:rsidRPr="009B3999" w:rsidRDefault="000119F8" w:rsidP="000119F8">
      <w:pPr>
        <w:rPr>
          <w:lang w:val="lt-LT"/>
        </w:rPr>
      </w:pPr>
    </w:p>
    <w:p w:rsidR="000119F8" w:rsidRDefault="000119F8" w:rsidP="000119F8">
      <w:pPr>
        <w:pStyle w:val="Antrat1"/>
        <w:rPr>
          <w:rFonts w:ascii="Times New Roman" w:hAnsi="Times New Roman"/>
          <w:caps/>
        </w:rPr>
      </w:pPr>
    </w:p>
    <w:p w:rsidR="000119F8" w:rsidRDefault="000119F8" w:rsidP="000119F8">
      <w:pPr>
        <w:pStyle w:val="Antrat1"/>
        <w:rPr>
          <w:rFonts w:ascii="Times New Roman" w:hAnsi="Times New Roman"/>
          <w:caps/>
          <w:sz w:val="24"/>
          <w:szCs w:val="24"/>
        </w:rPr>
      </w:pPr>
    </w:p>
    <w:p w:rsidR="000119F8" w:rsidRPr="00963C09" w:rsidRDefault="000119F8" w:rsidP="000119F8">
      <w:pPr>
        <w:pStyle w:val="Antrat1"/>
        <w:rPr>
          <w:rFonts w:ascii="Times New Roman" w:hAnsi="Times New Roman"/>
          <w:caps/>
          <w:sz w:val="24"/>
          <w:szCs w:val="24"/>
        </w:rPr>
      </w:pPr>
      <w:r w:rsidRPr="00963C09">
        <w:rPr>
          <w:rFonts w:ascii="Times New Roman" w:hAnsi="Times New Roman"/>
          <w:caps/>
          <w:sz w:val="24"/>
          <w:szCs w:val="24"/>
        </w:rPr>
        <w:t xml:space="preserve">KLAIPĖDOS </w:t>
      </w:r>
      <w:r>
        <w:rPr>
          <w:rFonts w:ascii="Times New Roman" w:hAnsi="Times New Roman"/>
          <w:caps/>
          <w:sz w:val="24"/>
          <w:szCs w:val="24"/>
        </w:rPr>
        <w:t xml:space="preserve">LOPŠELIS-DARŽELIS </w:t>
      </w:r>
      <w:r w:rsidRPr="00963C09">
        <w:rPr>
          <w:rFonts w:ascii="Times New Roman" w:hAnsi="Times New Roman"/>
          <w:caps/>
          <w:sz w:val="24"/>
          <w:szCs w:val="24"/>
        </w:rPr>
        <w:t>„</w:t>
      </w:r>
      <w:r>
        <w:rPr>
          <w:rFonts w:ascii="Times New Roman" w:hAnsi="Times New Roman"/>
          <w:caps/>
          <w:sz w:val="24"/>
          <w:szCs w:val="24"/>
        </w:rPr>
        <w:t>BERŽELIS“</w:t>
      </w:r>
    </w:p>
    <w:p w:rsidR="000119F8" w:rsidRPr="006717D0" w:rsidRDefault="000119F8" w:rsidP="000119F8">
      <w:pPr>
        <w:jc w:val="center"/>
        <w:rPr>
          <w:lang w:val="lt-LT"/>
        </w:rPr>
      </w:pPr>
      <w:r w:rsidRPr="006717D0">
        <w:rPr>
          <w:lang w:val="lt-LT"/>
        </w:rPr>
        <w:t>Savivaldybės biudžetinė įstaiga. Liepų g. 11, LT-91502 Klaipėda</w:t>
      </w:r>
    </w:p>
    <w:p w:rsidR="000119F8" w:rsidRPr="006717D0" w:rsidRDefault="000119F8" w:rsidP="000119F8">
      <w:pPr>
        <w:jc w:val="center"/>
        <w:rPr>
          <w:lang w:val="lt-LT"/>
        </w:rPr>
      </w:pPr>
      <w:r w:rsidRPr="006717D0">
        <w:rPr>
          <w:lang w:val="lt-LT"/>
        </w:rPr>
        <w:t xml:space="preserve">Duomenys kaupiami ir saugomi Juridinių asmenų registre, kodas </w:t>
      </w:r>
      <w:r>
        <w:rPr>
          <w:lang w:val="lt-LT"/>
        </w:rPr>
        <w:t>190436411</w:t>
      </w:r>
    </w:p>
    <w:p w:rsidR="000119F8" w:rsidRPr="00E204D2" w:rsidRDefault="000119F8" w:rsidP="000119F8">
      <w:pPr>
        <w:pBdr>
          <w:bottom w:val="single" w:sz="12" w:space="1" w:color="auto"/>
        </w:pBdr>
        <w:jc w:val="center"/>
        <w:rPr>
          <w:caps/>
          <w:lang w:val="lt-LT"/>
        </w:rPr>
      </w:pPr>
      <w:r w:rsidRPr="004A1104">
        <w:rPr>
          <w:lang w:val="lt-LT"/>
        </w:rPr>
        <w:t xml:space="preserve">Mokyklos duomenys: </w:t>
      </w:r>
      <w:r>
        <w:rPr>
          <w:lang w:val="lt-LT"/>
        </w:rPr>
        <w:t>Mogiliovo</w:t>
      </w:r>
      <w:r w:rsidRPr="004A1104">
        <w:rPr>
          <w:lang w:val="lt-LT"/>
        </w:rPr>
        <w:t xml:space="preserve"> g. </w:t>
      </w:r>
      <w:r>
        <w:rPr>
          <w:lang w:val="lt-LT"/>
        </w:rPr>
        <w:t xml:space="preserve">2, 91251 Klaipėda, tel. (8 </w:t>
      </w:r>
      <w:r w:rsidRPr="004A1104">
        <w:rPr>
          <w:lang w:val="lt-LT"/>
        </w:rPr>
        <w:t xml:space="preserve">46) </w:t>
      </w:r>
      <w:r>
        <w:rPr>
          <w:lang w:val="lt-LT"/>
        </w:rPr>
        <w:t>32 42 77</w:t>
      </w:r>
      <w:r w:rsidRPr="004A1104">
        <w:rPr>
          <w:lang w:val="lt-LT"/>
        </w:rPr>
        <w:t>, el.</w:t>
      </w:r>
      <w:r>
        <w:rPr>
          <w:lang w:val="lt-LT"/>
        </w:rPr>
        <w:t xml:space="preserve"> </w:t>
      </w:r>
      <w:r w:rsidRPr="004A1104">
        <w:rPr>
          <w:lang w:val="lt-LT"/>
        </w:rPr>
        <w:t xml:space="preserve">p. </w:t>
      </w:r>
      <w:hyperlink r:id="rId6" w:history="1">
        <w:r w:rsidRPr="00FC4A6C">
          <w:rPr>
            <w:rStyle w:val="Hipersaitas"/>
            <w:u w:val="none"/>
            <w:lang w:val="lt-LT"/>
          </w:rPr>
          <w:t>b</w:t>
        </w:r>
        <w:r w:rsidRPr="002E2146">
          <w:rPr>
            <w:rStyle w:val="Hipersaitas"/>
            <w:u w:val="none"/>
            <w:lang w:val="lt-LT"/>
          </w:rPr>
          <w:t>erzelis@balticum-tv.lt</w:t>
        </w:r>
      </w:hyperlink>
      <w:r>
        <w:rPr>
          <w:lang w:val="lt-LT"/>
        </w:rPr>
        <w:tab/>
      </w:r>
    </w:p>
    <w:p w:rsidR="000119F8" w:rsidRDefault="000119F8" w:rsidP="000119F8">
      <w:pPr>
        <w:jc w:val="both"/>
        <w:rPr>
          <w:sz w:val="24"/>
          <w:szCs w:val="24"/>
          <w:lang w:val="lt-LT"/>
        </w:rPr>
      </w:pPr>
    </w:p>
    <w:p w:rsidR="000119F8" w:rsidRDefault="000119F8" w:rsidP="000119F8">
      <w:pPr>
        <w:rPr>
          <w:b/>
          <w:sz w:val="24"/>
          <w:szCs w:val="24"/>
          <w:lang w:val="lt-LT"/>
        </w:rPr>
      </w:pPr>
    </w:p>
    <w:p w:rsidR="000119F8" w:rsidRPr="00C554D4" w:rsidRDefault="000119F8" w:rsidP="000119F8">
      <w:pPr>
        <w:rPr>
          <w:b/>
          <w:sz w:val="24"/>
          <w:szCs w:val="24"/>
          <w:lang w:val="lt-LT"/>
        </w:rPr>
      </w:pPr>
      <w:r w:rsidRPr="00C554D4">
        <w:rPr>
          <w:b/>
          <w:sz w:val="24"/>
          <w:szCs w:val="24"/>
          <w:lang w:val="lt-LT"/>
        </w:rPr>
        <w:t>DĖL KORUPCIJOS PASIREIŠKIMO TIKIMYBĖS NUSTATYMO 2017 METAIS</w:t>
      </w:r>
    </w:p>
    <w:p w:rsidR="000119F8" w:rsidRPr="00C554D4" w:rsidRDefault="000119F8" w:rsidP="000119F8">
      <w:pPr>
        <w:rPr>
          <w:b/>
          <w:sz w:val="24"/>
          <w:szCs w:val="24"/>
          <w:lang w:val="lt-LT"/>
        </w:rPr>
      </w:pPr>
    </w:p>
    <w:p w:rsidR="000119F8" w:rsidRDefault="000119F8" w:rsidP="000119F8">
      <w:pPr>
        <w:jc w:val="both"/>
        <w:rPr>
          <w:sz w:val="24"/>
          <w:szCs w:val="24"/>
          <w:lang w:val="lt-LT"/>
        </w:rPr>
      </w:pPr>
    </w:p>
    <w:p w:rsidR="000119F8" w:rsidRDefault="000119F8" w:rsidP="000119F8">
      <w:pPr>
        <w:jc w:val="both"/>
        <w:rPr>
          <w:sz w:val="24"/>
          <w:szCs w:val="24"/>
          <w:lang w:val="lt-LT"/>
        </w:rPr>
      </w:pPr>
      <w:r>
        <w:rPr>
          <w:sz w:val="24"/>
          <w:szCs w:val="24"/>
          <w:lang w:val="lt-LT"/>
        </w:rPr>
        <w:t xml:space="preserve">Vadovaudamasi Lietuvos Respublikos Korupcijos prevencijos įstatymo 6 ir 7 straipsnių nuostatomis ir Korupcijos rizikos atlikimo tvarka patvirtinta Lietuvos Respublikos Vyriausybės 2002 m. spalio 8 d. nutarimu Nr.1601, bei Specialiųjų tyrimų tarnybos direktoriaus 2011 m. gegužės 13 d. įsakymu Nr. 2-170 patvirtintomis Valstybės ir savivaldybės įstaigos veiklos sričių, kuriose egzistuoja didelė korupcijos pasireiškimo tikimybę nustatymo rekomendacijomis. </w:t>
      </w:r>
    </w:p>
    <w:p w:rsidR="000119F8" w:rsidRDefault="000119F8" w:rsidP="000119F8">
      <w:pPr>
        <w:jc w:val="both"/>
        <w:rPr>
          <w:sz w:val="24"/>
          <w:szCs w:val="24"/>
          <w:lang w:val="lt-LT"/>
        </w:rPr>
      </w:pPr>
      <w:r>
        <w:rPr>
          <w:sz w:val="24"/>
          <w:szCs w:val="24"/>
          <w:lang w:val="lt-LT"/>
        </w:rPr>
        <w:t>Klaipėdos lopšelio-darželio „Berželis“ raštinės administratorė, atsakinga už korupcijos prevenciją bei kontrolę Laima Baranauskaitė, atliko korupcijos pasireiškimo tikimybės nustatymą.</w:t>
      </w:r>
    </w:p>
    <w:p w:rsidR="000119F8" w:rsidRDefault="000119F8" w:rsidP="000119F8">
      <w:pPr>
        <w:jc w:val="both"/>
        <w:rPr>
          <w:sz w:val="24"/>
          <w:szCs w:val="24"/>
          <w:lang w:val="lt-LT"/>
        </w:rPr>
      </w:pPr>
      <w:r>
        <w:rPr>
          <w:sz w:val="24"/>
          <w:szCs w:val="24"/>
          <w:lang w:val="lt-LT"/>
        </w:rPr>
        <w:t>Analizuotas laikotarpis 2017-01-01  - 2017-09-20</w:t>
      </w:r>
    </w:p>
    <w:p w:rsidR="000119F8" w:rsidRDefault="000119F8" w:rsidP="000119F8">
      <w:pPr>
        <w:jc w:val="both"/>
        <w:rPr>
          <w:sz w:val="24"/>
          <w:szCs w:val="24"/>
          <w:lang w:val="lt-LT"/>
        </w:rPr>
      </w:pPr>
      <w:r>
        <w:rPr>
          <w:sz w:val="24"/>
          <w:szCs w:val="24"/>
          <w:lang w:val="lt-LT"/>
        </w:rPr>
        <w:t>Atliekant korupcijos pasireiškimo tikimybę vertintos veiklos sritys:</w:t>
      </w:r>
    </w:p>
    <w:p w:rsidR="000119F8" w:rsidRDefault="000119F8" w:rsidP="000119F8">
      <w:pPr>
        <w:numPr>
          <w:ilvl w:val="0"/>
          <w:numId w:val="1"/>
        </w:numPr>
        <w:jc w:val="both"/>
        <w:rPr>
          <w:sz w:val="24"/>
          <w:szCs w:val="24"/>
          <w:lang w:val="lt-LT"/>
        </w:rPr>
      </w:pPr>
      <w:r>
        <w:rPr>
          <w:sz w:val="24"/>
          <w:szCs w:val="24"/>
          <w:lang w:val="lt-LT"/>
        </w:rPr>
        <w:t>Klaipėdos lopšelio-darželio „Berželis“ veikla susijusi su maitinimo organizavimu ikimokyklinio ugdymo įstaigoje KPĮ 6 str. 3d. numatytiems kriterijams.</w:t>
      </w:r>
    </w:p>
    <w:p w:rsidR="000119F8" w:rsidRDefault="000119F8" w:rsidP="000119F8">
      <w:pPr>
        <w:numPr>
          <w:ilvl w:val="0"/>
          <w:numId w:val="1"/>
        </w:numPr>
        <w:jc w:val="both"/>
        <w:rPr>
          <w:sz w:val="24"/>
          <w:szCs w:val="24"/>
          <w:lang w:val="lt-LT"/>
        </w:rPr>
      </w:pPr>
      <w:r>
        <w:rPr>
          <w:sz w:val="24"/>
          <w:szCs w:val="24"/>
          <w:lang w:val="lt-LT"/>
        </w:rPr>
        <w:t>Klaipėdos lopšelio-darželio „Berželis“ veikla kontroliuojant maitinimo organizavimą atitinka KPĮ 6 str. 5 p. numatytus kriterijus.</w:t>
      </w:r>
    </w:p>
    <w:p w:rsidR="000119F8" w:rsidRDefault="000119F8" w:rsidP="000119F8">
      <w:pPr>
        <w:jc w:val="both"/>
        <w:rPr>
          <w:sz w:val="24"/>
          <w:szCs w:val="24"/>
          <w:lang w:val="lt-LT"/>
        </w:rPr>
      </w:pPr>
      <w:r>
        <w:rPr>
          <w:sz w:val="24"/>
          <w:szCs w:val="24"/>
          <w:lang w:val="lt-LT"/>
        </w:rPr>
        <w:t>Atlikti veiksmai:</w:t>
      </w:r>
    </w:p>
    <w:p w:rsidR="000119F8" w:rsidRDefault="000119F8" w:rsidP="000119F8">
      <w:pPr>
        <w:jc w:val="both"/>
        <w:rPr>
          <w:sz w:val="24"/>
          <w:szCs w:val="24"/>
          <w:lang w:val="lt-LT"/>
        </w:rPr>
      </w:pPr>
      <w:r>
        <w:rPr>
          <w:sz w:val="24"/>
          <w:szCs w:val="24"/>
          <w:lang w:val="lt-LT"/>
        </w:rPr>
        <w:t>Atliekant Klaipėdos lopšelio-darželio „Berželis“ veiklos vaikų maitinimo organizavimas maisto produktų priėmimu, išdavimu į virtuvę, tikslingu maisto produktų panaudojimu, vaikų maisto į grupes išdavimu laikantis  perspektyviniu ir dienos valgiaraščiu kontrolės vykdymu, analizuoti teisės aktai:</w:t>
      </w:r>
    </w:p>
    <w:p w:rsidR="000119F8" w:rsidRDefault="000119F8" w:rsidP="000119F8">
      <w:pPr>
        <w:numPr>
          <w:ilvl w:val="0"/>
          <w:numId w:val="2"/>
        </w:numPr>
        <w:jc w:val="both"/>
        <w:rPr>
          <w:sz w:val="24"/>
          <w:szCs w:val="24"/>
          <w:lang w:val="lt-LT"/>
        </w:rPr>
      </w:pPr>
      <w:r>
        <w:rPr>
          <w:sz w:val="24"/>
          <w:szCs w:val="24"/>
          <w:lang w:val="lt-LT"/>
        </w:rPr>
        <w:t>Lietuvos Respublikos sveikatos apsaugos ministro 2011 m. lapkričio 11 d. įsakymas Nr. V-964 Maitinimo organizavimo ikimokyklinio ugdymo, bendrojo ugdymo mokyklose ir vaikų socialinės globos  įstaigose tvarkos aprašas ir vėlesni pakeitimai (2014 m. liepos 4 d. įsakymas Nr.V-769, 2015 m. rugpjūčio 22 d. įsakymas Nr.V-998).</w:t>
      </w:r>
    </w:p>
    <w:p w:rsidR="000119F8" w:rsidRDefault="000119F8" w:rsidP="000119F8">
      <w:pPr>
        <w:numPr>
          <w:ilvl w:val="0"/>
          <w:numId w:val="2"/>
        </w:numPr>
        <w:jc w:val="both"/>
        <w:rPr>
          <w:sz w:val="24"/>
          <w:szCs w:val="24"/>
          <w:lang w:val="lt-LT"/>
        </w:rPr>
      </w:pPr>
      <w:r>
        <w:rPr>
          <w:sz w:val="24"/>
          <w:szCs w:val="24"/>
          <w:lang w:val="lt-LT"/>
        </w:rPr>
        <w:t>Lietuvos Respublikos sveikatos apsaugos ministro 2016 m. birželio 23 d. įsakymas Nr. V-836 Dėl rekomendacijų paros maistinių medžiagų ir energijos normų patvirtinimo;</w:t>
      </w:r>
    </w:p>
    <w:p w:rsidR="000119F8" w:rsidRDefault="000119F8" w:rsidP="000119F8">
      <w:pPr>
        <w:numPr>
          <w:ilvl w:val="0"/>
          <w:numId w:val="2"/>
        </w:numPr>
        <w:jc w:val="both"/>
        <w:rPr>
          <w:sz w:val="24"/>
          <w:szCs w:val="24"/>
          <w:lang w:val="lt-LT"/>
        </w:rPr>
      </w:pPr>
      <w:r>
        <w:rPr>
          <w:sz w:val="24"/>
          <w:szCs w:val="24"/>
          <w:lang w:val="lt-LT"/>
        </w:rPr>
        <w:t>Klaipėdos miesto tarybos 2012 m. lapkričio 29 d. sprendimas Nr. 12-281 Maitinimo organizavimo Klaipėdos miesto savivaldybės bendrojo ugdymo mokyklose ir ikimokyklinio ugdymo įstaigose tvarkos aprašas ir vėlesni pakeitimai.</w:t>
      </w:r>
    </w:p>
    <w:p w:rsidR="000119F8" w:rsidRDefault="000119F8" w:rsidP="000119F8">
      <w:pPr>
        <w:numPr>
          <w:ilvl w:val="0"/>
          <w:numId w:val="2"/>
        </w:numPr>
        <w:jc w:val="both"/>
        <w:rPr>
          <w:sz w:val="24"/>
          <w:szCs w:val="24"/>
          <w:lang w:val="lt-LT"/>
        </w:rPr>
      </w:pPr>
      <w:r>
        <w:rPr>
          <w:sz w:val="24"/>
          <w:szCs w:val="24"/>
          <w:lang w:val="lt-LT"/>
        </w:rPr>
        <w:t>Klaipėdos miesto visuomenės sveikatos biuro ikimokyklinio ugdymo įstaigų visuomenės sveikatos priežiūros specialistų veiklos susijusios su maitinimo organizavimu patikrinimu atlikimo tvarkos aprašas.</w:t>
      </w:r>
    </w:p>
    <w:p w:rsidR="000119F8" w:rsidRDefault="000119F8" w:rsidP="000119F8">
      <w:pPr>
        <w:numPr>
          <w:ilvl w:val="0"/>
          <w:numId w:val="2"/>
        </w:numPr>
        <w:jc w:val="both"/>
        <w:rPr>
          <w:sz w:val="24"/>
          <w:szCs w:val="24"/>
          <w:lang w:val="lt-LT"/>
        </w:rPr>
      </w:pPr>
      <w:r>
        <w:rPr>
          <w:sz w:val="24"/>
          <w:szCs w:val="24"/>
          <w:lang w:val="lt-LT"/>
        </w:rPr>
        <w:t>Klaipėdos lopšelio-darželio „Berželis“ nuostatai patvirtinti Klaipėdos miesto savivaldybės administracijos  direktoriaus 2012 m. kovo 1 d. įsakymu Nr.AD1-449.</w:t>
      </w:r>
    </w:p>
    <w:p w:rsidR="000119F8" w:rsidRDefault="000119F8" w:rsidP="000119F8">
      <w:pPr>
        <w:numPr>
          <w:ilvl w:val="0"/>
          <w:numId w:val="2"/>
        </w:numPr>
        <w:jc w:val="both"/>
        <w:rPr>
          <w:sz w:val="24"/>
          <w:szCs w:val="24"/>
          <w:lang w:val="lt-LT"/>
        </w:rPr>
      </w:pPr>
      <w:r>
        <w:rPr>
          <w:sz w:val="24"/>
          <w:szCs w:val="24"/>
          <w:lang w:val="lt-LT"/>
        </w:rPr>
        <w:t>Klaipėdos lopšelio-darželio „Berželis“ Vaikų maitinimo organizavimo tvarkos aprašas patvirtintas 2012 m. lapkričio 8 d. įsakymu Nr. V-404.</w:t>
      </w:r>
    </w:p>
    <w:p w:rsidR="000119F8" w:rsidRDefault="000119F8" w:rsidP="000119F8">
      <w:pPr>
        <w:jc w:val="both"/>
        <w:rPr>
          <w:sz w:val="24"/>
          <w:szCs w:val="24"/>
          <w:lang w:val="lt-LT"/>
        </w:rPr>
      </w:pPr>
      <w:r>
        <w:rPr>
          <w:sz w:val="24"/>
          <w:szCs w:val="24"/>
          <w:lang w:val="lt-LT"/>
        </w:rPr>
        <w:t xml:space="preserve">Vertinta įtaigos darbuotojų veikla ir administracinės procedūros priimant sprendimus dėl vaikų maitinimo organizavimo ir maitinimo vykdymo, dėl kontrolės funkcijų vykdymo, maitinimo organizavimo tvarkos aprašai, maisto produktų viešųjų pirkimų sutartys ir jų priedai, maitinimo organizavimo kokybės darbo grupės veiklos dokumentai, virėjų, sandėlininkų, auklėtojų padėjėjų, </w:t>
      </w:r>
      <w:r>
        <w:rPr>
          <w:sz w:val="24"/>
          <w:szCs w:val="24"/>
          <w:lang w:val="lt-LT"/>
        </w:rPr>
        <w:lastRenderedPageBreak/>
        <w:t>sveikatos priežiūros specialistų pareigybės aprašai, bendrauta su atsakingais įstaigos darbuotojais, ugdytinių tėvais, vertinti priimti sprendimai ir pan.</w:t>
      </w:r>
    </w:p>
    <w:p w:rsidR="000119F8" w:rsidRDefault="000119F8" w:rsidP="000119F8">
      <w:pPr>
        <w:jc w:val="both"/>
        <w:rPr>
          <w:sz w:val="24"/>
          <w:szCs w:val="24"/>
          <w:lang w:val="lt-LT"/>
        </w:rPr>
      </w:pPr>
    </w:p>
    <w:p w:rsidR="000119F8" w:rsidRDefault="000119F8" w:rsidP="000119F8">
      <w:pPr>
        <w:jc w:val="both"/>
        <w:rPr>
          <w:sz w:val="24"/>
          <w:szCs w:val="24"/>
          <w:lang w:val="lt-LT"/>
        </w:rPr>
      </w:pPr>
      <w:r>
        <w:rPr>
          <w:sz w:val="24"/>
          <w:szCs w:val="24"/>
          <w:lang w:val="lt-LT"/>
        </w:rPr>
        <w:t>Veiklos sričių kuriose egzistuoja didelė korupcijos pasireiškimo tikimybė sąrašas</w:t>
      </w:r>
    </w:p>
    <w:p w:rsidR="000119F8" w:rsidRDefault="000119F8" w:rsidP="000119F8">
      <w:pPr>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74"/>
        <w:gridCol w:w="978"/>
        <w:gridCol w:w="978"/>
        <w:gridCol w:w="962"/>
        <w:gridCol w:w="994"/>
        <w:gridCol w:w="840"/>
        <w:gridCol w:w="978"/>
        <w:gridCol w:w="1115"/>
      </w:tblGrid>
      <w:tr w:rsidR="000119F8" w:rsidRPr="00D805CB" w:rsidTr="005D1FB4">
        <w:trPr>
          <w:trHeight w:val="620"/>
        </w:trPr>
        <w:tc>
          <w:tcPr>
            <w:tcW w:w="817" w:type="dxa"/>
            <w:tcBorders>
              <w:bottom w:val="nil"/>
            </w:tcBorders>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Eil.</w:t>
            </w:r>
          </w:p>
          <w:p w:rsidR="000119F8" w:rsidRPr="00D805CB" w:rsidRDefault="000119F8" w:rsidP="005D1FB4">
            <w:pPr>
              <w:jc w:val="both"/>
              <w:rPr>
                <w:sz w:val="24"/>
                <w:szCs w:val="24"/>
                <w:lang w:val="lt-LT"/>
              </w:rPr>
            </w:pPr>
            <w:r w:rsidRPr="00D805CB">
              <w:rPr>
                <w:sz w:val="24"/>
                <w:szCs w:val="24"/>
                <w:lang w:val="lt-LT"/>
              </w:rPr>
              <w:t>Nr.</w:t>
            </w:r>
          </w:p>
        </w:tc>
        <w:tc>
          <w:tcPr>
            <w:tcW w:w="1985" w:type="dxa"/>
            <w:tcBorders>
              <w:bottom w:val="nil"/>
            </w:tcBorders>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Veiklos sritys</w:t>
            </w:r>
          </w:p>
        </w:tc>
        <w:tc>
          <w:tcPr>
            <w:tcW w:w="6945" w:type="dxa"/>
            <w:gridSpan w:val="7"/>
            <w:tcBorders>
              <w:bottom w:val="single" w:sz="4" w:space="0" w:color="auto"/>
            </w:tcBorders>
            <w:shd w:val="clear" w:color="auto" w:fill="auto"/>
          </w:tcPr>
          <w:p w:rsidR="000119F8" w:rsidRPr="00D805CB" w:rsidRDefault="000119F8" w:rsidP="005D1FB4">
            <w:pPr>
              <w:jc w:val="both"/>
              <w:rPr>
                <w:sz w:val="24"/>
                <w:szCs w:val="24"/>
                <w:lang w:val="lt-LT"/>
              </w:rPr>
            </w:pPr>
          </w:p>
          <w:p w:rsidR="000119F8" w:rsidRPr="00D805CB" w:rsidRDefault="000119F8" w:rsidP="005D1FB4">
            <w:pPr>
              <w:jc w:val="center"/>
              <w:rPr>
                <w:sz w:val="24"/>
                <w:szCs w:val="24"/>
                <w:lang w:val="lt-LT"/>
              </w:rPr>
            </w:pPr>
            <w:r w:rsidRPr="00D805CB">
              <w:rPr>
                <w:sz w:val="24"/>
                <w:szCs w:val="24"/>
                <w:lang w:val="lt-LT"/>
              </w:rPr>
              <w:t>KPĮ 6 straipsnio 3 dalies kriterijai</w:t>
            </w:r>
          </w:p>
        </w:tc>
      </w:tr>
      <w:tr w:rsidR="000119F8" w:rsidRPr="00D805CB" w:rsidTr="005D1FB4">
        <w:tc>
          <w:tcPr>
            <w:tcW w:w="817" w:type="dxa"/>
            <w:tcBorders>
              <w:top w:val="nil"/>
            </w:tcBorders>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w:t>
            </w:r>
          </w:p>
        </w:tc>
        <w:tc>
          <w:tcPr>
            <w:tcW w:w="1985" w:type="dxa"/>
            <w:tcBorders>
              <w:top w:val="nil"/>
            </w:tcBorders>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p>
        </w:tc>
        <w:tc>
          <w:tcPr>
            <w:tcW w:w="992" w:type="dxa"/>
            <w:tcBorders>
              <w:top w:val="single" w:sz="4" w:space="0" w:color="auto"/>
            </w:tcBorders>
            <w:shd w:val="clear" w:color="auto" w:fill="auto"/>
          </w:tcPr>
          <w:p w:rsidR="000119F8" w:rsidRPr="00D805CB" w:rsidRDefault="000119F8" w:rsidP="005D1FB4">
            <w:pPr>
              <w:jc w:val="center"/>
              <w:rPr>
                <w:sz w:val="24"/>
                <w:szCs w:val="24"/>
                <w:lang w:val="lt-LT"/>
              </w:rPr>
            </w:pPr>
          </w:p>
          <w:p w:rsidR="000119F8" w:rsidRPr="00D805CB" w:rsidRDefault="000119F8" w:rsidP="005D1FB4">
            <w:pPr>
              <w:jc w:val="center"/>
              <w:rPr>
                <w:sz w:val="24"/>
                <w:szCs w:val="24"/>
                <w:lang w:val="lt-LT"/>
              </w:rPr>
            </w:pPr>
            <w:r w:rsidRPr="00D805CB">
              <w:rPr>
                <w:sz w:val="24"/>
                <w:szCs w:val="24"/>
                <w:lang w:val="lt-LT"/>
              </w:rPr>
              <w:t>1p.</w:t>
            </w:r>
          </w:p>
        </w:tc>
        <w:tc>
          <w:tcPr>
            <w:tcW w:w="992" w:type="dxa"/>
            <w:tcBorders>
              <w:top w:val="single" w:sz="4" w:space="0" w:color="auto"/>
            </w:tcBorders>
            <w:shd w:val="clear" w:color="auto" w:fill="auto"/>
          </w:tcPr>
          <w:p w:rsidR="000119F8" w:rsidRPr="00D805CB" w:rsidRDefault="000119F8" w:rsidP="005D1FB4">
            <w:pPr>
              <w:jc w:val="center"/>
              <w:rPr>
                <w:sz w:val="24"/>
                <w:szCs w:val="24"/>
                <w:lang w:val="lt-LT"/>
              </w:rPr>
            </w:pPr>
          </w:p>
          <w:p w:rsidR="000119F8" w:rsidRPr="00D805CB" w:rsidRDefault="000119F8" w:rsidP="005D1FB4">
            <w:pPr>
              <w:jc w:val="center"/>
              <w:rPr>
                <w:sz w:val="24"/>
                <w:szCs w:val="24"/>
                <w:lang w:val="lt-LT"/>
              </w:rPr>
            </w:pPr>
            <w:r w:rsidRPr="00D805CB">
              <w:rPr>
                <w:sz w:val="24"/>
                <w:szCs w:val="24"/>
                <w:lang w:val="lt-LT"/>
              </w:rPr>
              <w:t>2p.</w:t>
            </w:r>
          </w:p>
        </w:tc>
        <w:tc>
          <w:tcPr>
            <w:tcW w:w="976" w:type="dxa"/>
            <w:tcBorders>
              <w:top w:val="single" w:sz="4" w:space="0" w:color="auto"/>
            </w:tcBorders>
            <w:shd w:val="clear" w:color="auto" w:fill="auto"/>
          </w:tcPr>
          <w:p w:rsidR="000119F8" w:rsidRPr="00D805CB" w:rsidRDefault="000119F8" w:rsidP="005D1FB4">
            <w:pPr>
              <w:jc w:val="center"/>
              <w:rPr>
                <w:sz w:val="24"/>
                <w:szCs w:val="24"/>
                <w:lang w:val="lt-LT"/>
              </w:rPr>
            </w:pPr>
          </w:p>
          <w:p w:rsidR="000119F8" w:rsidRPr="00D805CB" w:rsidRDefault="000119F8" w:rsidP="005D1FB4">
            <w:pPr>
              <w:jc w:val="center"/>
              <w:rPr>
                <w:sz w:val="24"/>
                <w:szCs w:val="24"/>
                <w:lang w:val="lt-LT"/>
              </w:rPr>
            </w:pPr>
            <w:r w:rsidRPr="00D805CB">
              <w:rPr>
                <w:sz w:val="24"/>
                <w:szCs w:val="24"/>
                <w:lang w:val="lt-LT"/>
              </w:rPr>
              <w:t>3p.</w:t>
            </w:r>
          </w:p>
        </w:tc>
        <w:tc>
          <w:tcPr>
            <w:tcW w:w="1009" w:type="dxa"/>
            <w:tcBorders>
              <w:top w:val="single" w:sz="4" w:space="0" w:color="auto"/>
            </w:tcBorders>
            <w:shd w:val="clear" w:color="auto" w:fill="auto"/>
          </w:tcPr>
          <w:p w:rsidR="000119F8" w:rsidRPr="00D805CB" w:rsidRDefault="000119F8" w:rsidP="005D1FB4">
            <w:pPr>
              <w:jc w:val="center"/>
              <w:rPr>
                <w:sz w:val="24"/>
                <w:szCs w:val="24"/>
                <w:lang w:val="lt-LT"/>
              </w:rPr>
            </w:pPr>
          </w:p>
          <w:p w:rsidR="000119F8" w:rsidRPr="00D805CB" w:rsidRDefault="000119F8" w:rsidP="005D1FB4">
            <w:pPr>
              <w:jc w:val="center"/>
              <w:rPr>
                <w:sz w:val="24"/>
                <w:szCs w:val="24"/>
                <w:lang w:val="lt-LT"/>
              </w:rPr>
            </w:pPr>
            <w:r w:rsidRPr="00D805CB">
              <w:rPr>
                <w:sz w:val="24"/>
                <w:szCs w:val="24"/>
                <w:lang w:val="lt-LT"/>
              </w:rPr>
              <w:t>4p.</w:t>
            </w:r>
          </w:p>
        </w:tc>
        <w:tc>
          <w:tcPr>
            <w:tcW w:w="850" w:type="dxa"/>
            <w:tcBorders>
              <w:top w:val="single" w:sz="4" w:space="0" w:color="auto"/>
            </w:tcBorders>
            <w:shd w:val="clear" w:color="auto" w:fill="auto"/>
          </w:tcPr>
          <w:p w:rsidR="000119F8" w:rsidRPr="00D805CB" w:rsidRDefault="000119F8" w:rsidP="005D1FB4">
            <w:pPr>
              <w:jc w:val="center"/>
              <w:rPr>
                <w:sz w:val="24"/>
                <w:szCs w:val="24"/>
                <w:lang w:val="lt-LT"/>
              </w:rPr>
            </w:pPr>
          </w:p>
          <w:p w:rsidR="000119F8" w:rsidRPr="00D805CB" w:rsidRDefault="000119F8" w:rsidP="005D1FB4">
            <w:pPr>
              <w:jc w:val="center"/>
              <w:rPr>
                <w:sz w:val="24"/>
                <w:szCs w:val="24"/>
                <w:lang w:val="lt-LT"/>
              </w:rPr>
            </w:pPr>
            <w:r w:rsidRPr="00D805CB">
              <w:rPr>
                <w:sz w:val="24"/>
                <w:szCs w:val="24"/>
                <w:lang w:val="lt-LT"/>
              </w:rPr>
              <w:t>5p.</w:t>
            </w:r>
          </w:p>
        </w:tc>
        <w:tc>
          <w:tcPr>
            <w:tcW w:w="992" w:type="dxa"/>
            <w:tcBorders>
              <w:top w:val="single" w:sz="4" w:space="0" w:color="auto"/>
            </w:tcBorders>
            <w:shd w:val="clear" w:color="auto" w:fill="auto"/>
          </w:tcPr>
          <w:p w:rsidR="000119F8" w:rsidRPr="00D805CB" w:rsidRDefault="000119F8" w:rsidP="005D1FB4">
            <w:pPr>
              <w:jc w:val="center"/>
              <w:rPr>
                <w:sz w:val="24"/>
                <w:szCs w:val="24"/>
                <w:lang w:val="lt-LT"/>
              </w:rPr>
            </w:pPr>
          </w:p>
          <w:p w:rsidR="000119F8" w:rsidRPr="00D805CB" w:rsidRDefault="000119F8" w:rsidP="005D1FB4">
            <w:pPr>
              <w:jc w:val="center"/>
              <w:rPr>
                <w:sz w:val="24"/>
                <w:szCs w:val="24"/>
                <w:lang w:val="lt-LT"/>
              </w:rPr>
            </w:pPr>
            <w:r w:rsidRPr="00D805CB">
              <w:rPr>
                <w:sz w:val="24"/>
                <w:szCs w:val="24"/>
                <w:lang w:val="lt-LT"/>
              </w:rPr>
              <w:t>6p.</w:t>
            </w:r>
          </w:p>
        </w:tc>
        <w:tc>
          <w:tcPr>
            <w:tcW w:w="1134" w:type="dxa"/>
            <w:tcBorders>
              <w:top w:val="single" w:sz="4" w:space="0" w:color="auto"/>
            </w:tcBorders>
            <w:shd w:val="clear" w:color="auto" w:fill="auto"/>
          </w:tcPr>
          <w:p w:rsidR="000119F8" w:rsidRPr="00D805CB" w:rsidRDefault="000119F8" w:rsidP="005D1FB4">
            <w:pPr>
              <w:jc w:val="center"/>
              <w:rPr>
                <w:sz w:val="24"/>
                <w:szCs w:val="24"/>
                <w:lang w:val="lt-LT"/>
              </w:rPr>
            </w:pPr>
          </w:p>
          <w:p w:rsidR="000119F8" w:rsidRPr="00D805CB" w:rsidRDefault="000119F8" w:rsidP="005D1FB4">
            <w:pPr>
              <w:jc w:val="center"/>
              <w:rPr>
                <w:sz w:val="24"/>
                <w:szCs w:val="24"/>
                <w:lang w:val="lt-LT"/>
              </w:rPr>
            </w:pPr>
            <w:r w:rsidRPr="00D805CB">
              <w:rPr>
                <w:sz w:val="24"/>
                <w:szCs w:val="24"/>
                <w:lang w:val="lt-LT"/>
              </w:rPr>
              <w:t>7p.</w:t>
            </w:r>
          </w:p>
        </w:tc>
      </w:tr>
      <w:tr w:rsidR="000119F8" w:rsidRPr="00D805CB" w:rsidTr="005D1FB4">
        <w:tc>
          <w:tcPr>
            <w:tcW w:w="817"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1.</w:t>
            </w:r>
          </w:p>
        </w:tc>
        <w:tc>
          <w:tcPr>
            <w:tcW w:w="1985"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Viešieji pirkimai</w:t>
            </w:r>
          </w:p>
        </w:tc>
        <w:tc>
          <w:tcPr>
            <w:tcW w:w="992"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w:t>
            </w:r>
          </w:p>
        </w:tc>
        <w:tc>
          <w:tcPr>
            <w:tcW w:w="992"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w:t>
            </w:r>
          </w:p>
        </w:tc>
        <w:tc>
          <w:tcPr>
            <w:tcW w:w="976"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w:t>
            </w:r>
          </w:p>
        </w:tc>
        <w:tc>
          <w:tcPr>
            <w:tcW w:w="1009"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w:t>
            </w:r>
          </w:p>
        </w:tc>
        <w:tc>
          <w:tcPr>
            <w:tcW w:w="850"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x</w:t>
            </w:r>
          </w:p>
        </w:tc>
        <w:tc>
          <w:tcPr>
            <w:tcW w:w="992"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w:t>
            </w:r>
          </w:p>
        </w:tc>
        <w:tc>
          <w:tcPr>
            <w:tcW w:w="1134"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w:t>
            </w:r>
          </w:p>
        </w:tc>
      </w:tr>
      <w:tr w:rsidR="000119F8" w:rsidRPr="00D805CB" w:rsidTr="005D1FB4">
        <w:tc>
          <w:tcPr>
            <w:tcW w:w="817"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2.</w:t>
            </w:r>
          </w:p>
          <w:p w:rsidR="000119F8" w:rsidRPr="00D805CB" w:rsidRDefault="000119F8" w:rsidP="005D1FB4">
            <w:pPr>
              <w:jc w:val="both"/>
              <w:rPr>
                <w:sz w:val="24"/>
                <w:szCs w:val="24"/>
                <w:lang w:val="lt-LT"/>
              </w:rPr>
            </w:pPr>
          </w:p>
        </w:tc>
        <w:tc>
          <w:tcPr>
            <w:tcW w:w="1985"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Vaikų maitinimo organizavimas</w:t>
            </w:r>
          </w:p>
        </w:tc>
        <w:tc>
          <w:tcPr>
            <w:tcW w:w="992"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w:t>
            </w:r>
          </w:p>
        </w:tc>
        <w:tc>
          <w:tcPr>
            <w:tcW w:w="992"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w:t>
            </w:r>
          </w:p>
        </w:tc>
        <w:tc>
          <w:tcPr>
            <w:tcW w:w="976"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w:t>
            </w:r>
          </w:p>
        </w:tc>
        <w:tc>
          <w:tcPr>
            <w:tcW w:w="1009"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w:t>
            </w:r>
          </w:p>
        </w:tc>
        <w:tc>
          <w:tcPr>
            <w:tcW w:w="850"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x</w:t>
            </w:r>
          </w:p>
        </w:tc>
        <w:tc>
          <w:tcPr>
            <w:tcW w:w="992"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w:t>
            </w:r>
          </w:p>
        </w:tc>
        <w:tc>
          <w:tcPr>
            <w:tcW w:w="1134" w:type="dxa"/>
            <w:shd w:val="clear" w:color="auto" w:fill="auto"/>
          </w:tcPr>
          <w:p w:rsidR="000119F8" w:rsidRPr="00D805CB" w:rsidRDefault="000119F8" w:rsidP="005D1FB4">
            <w:pPr>
              <w:jc w:val="both"/>
              <w:rPr>
                <w:sz w:val="24"/>
                <w:szCs w:val="24"/>
                <w:lang w:val="lt-LT"/>
              </w:rPr>
            </w:pPr>
          </w:p>
          <w:p w:rsidR="000119F8" w:rsidRPr="00D805CB" w:rsidRDefault="000119F8" w:rsidP="005D1FB4">
            <w:pPr>
              <w:jc w:val="both"/>
              <w:rPr>
                <w:sz w:val="24"/>
                <w:szCs w:val="24"/>
                <w:lang w:val="lt-LT"/>
              </w:rPr>
            </w:pPr>
            <w:r w:rsidRPr="00D805CB">
              <w:rPr>
                <w:sz w:val="24"/>
                <w:szCs w:val="24"/>
                <w:lang w:val="lt-LT"/>
              </w:rPr>
              <w:t>-</w:t>
            </w:r>
          </w:p>
        </w:tc>
      </w:tr>
    </w:tbl>
    <w:p w:rsidR="000119F8" w:rsidRDefault="000119F8" w:rsidP="000119F8">
      <w:pPr>
        <w:jc w:val="both"/>
        <w:rPr>
          <w:sz w:val="24"/>
          <w:szCs w:val="24"/>
          <w:lang w:val="lt-LT"/>
        </w:rPr>
      </w:pPr>
    </w:p>
    <w:p w:rsidR="000119F8" w:rsidRDefault="000119F8" w:rsidP="000119F8">
      <w:pPr>
        <w:jc w:val="both"/>
        <w:rPr>
          <w:sz w:val="24"/>
          <w:szCs w:val="24"/>
          <w:lang w:val="lt-LT"/>
        </w:rPr>
      </w:pPr>
      <w:r>
        <w:rPr>
          <w:sz w:val="24"/>
          <w:szCs w:val="24"/>
          <w:lang w:val="lt-LT"/>
        </w:rPr>
        <w:t>Sąrašas sudarytas atlikus Klaipėdos lopšelio-darželio „Berželis“ veiklos sričių atitikties Korupcijos prevencijos įstatymo 6str. 3 d. kriterijams nustatymą.</w:t>
      </w:r>
    </w:p>
    <w:p w:rsidR="000119F8" w:rsidRPr="00096485" w:rsidRDefault="000119F8" w:rsidP="000119F8">
      <w:pPr>
        <w:jc w:val="both"/>
        <w:rPr>
          <w:b/>
          <w:sz w:val="24"/>
          <w:szCs w:val="24"/>
          <w:lang w:val="lt-LT"/>
        </w:rPr>
      </w:pPr>
      <w:r w:rsidRPr="00096485">
        <w:rPr>
          <w:b/>
          <w:sz w:val="24"/>
          <w:szCs w:val="24"/>
          <w:lang w:val="lt-LT"/>
        </w:rPr>
        <w:t>Kriterijai:</w:t>
      </w:r>
    </w:p>
    <w:p w:rsidR="000119F8" w:rsidRDefault="000119F8" w:rsidP="000119F8">
      <w:pPr>
        <w:jc w:val="both"/>
        <w:rPr>
          <w:sz w:val="24"/>
          <w:szCs w:val="24"/>
          <w:lang w:val="lt-LT"/>
        </w:rPr>
      </w:pPr>
      <w:r>
        <w:rPr>
          <w:sz w:val="24"/>
          <w:szCs w:val="24"/>
          <w:lang w:val="lt-LT"/>
        </w:rPr>
        <w:t>1p. Padaryta korupcinio pobūdžio nusikalstama veikla.</w:t>
      </w:r>
    </w:p>
    <w:p w:rsidR="000119F8" w:rsidRDefault="000119F8" w:rsidP="000119F8">
      <w:pPr>
        <w:jc w:val="both"/>
        <w:rPr>
          <w:sz w:val="24"/>
          <w:szCs w:val="24"/>
          <w:lang w:val="lt-LT"/>
        </w:rPr>
      </w:pPr>
      <w:r>
        <w:rPr>
          <w:sz w:val="24"/>
          <w:szCs w:val="24"/>
          <w:lang w:val="lt-LT"/>
        </w:rPr>
        <w:t>2p. Pagrindinės funkcijos yra kontrolės ar priežiūros vykdymas.</w:t>
      </w:r>
    </w:p>
    <w:p w:rsidR="000119F8" w:rsidRDefault="000119F8" w:rsidP="000119F8">
      <w:pPr>
        <w:jc w:val="both"/>
        <w:rPr>
          <w:sz w:val="24"/>
          <w:szCs w:val="24"/>
          <w:lang w:val="lt-LT"/>
        </w:rPr>
      </w:pPr>
      <w:r>
        <w:rPr>
          <w:sz w:val="24"/>
          <w:szCs w:val="24"/>
          <w:lang w:val="lt-LT"/>
        </w:rPr>
        <w:t>3p. Atskirų valstybės tarnautojų funkcijos, uždaviniai, darbo ir sprendimų priėmimo tvarka bei atsakomybė nėra išsamiai reglamentuoti.</w:t>
      </w:r>
    </w:p>
    <w:p w:rsidR="000119F8" w:rsidRDefault="000119F8" w:rsidP="000119F8">
      <w:pPr>
        <w:jc w:val="both"/>
        <w:rPr>
          <w:sz w:val="24"/>
          <w:szCs w:val="24"/>
          <w:lang w:val="lt-LT"/>
        </w:rPr>
      </w:pPr>
      <w:r>
        <w:rPr>
          <w:sz w:val="24"/>
          <w:szCs w:val="24"/>
          <w:lang w:val="lt-LT"/>
        </w:rPr>
        <w:t>4p. Veikla yra susijusi su leidimų, nuolaidų, lengvatų ir kitokių papildomų teisių suteikimu ar apribojimu.</w:t>
      </w:r>
    </w:p>
    <w:p w:rsidR="000119F8" w:rsidRDefault="000119F8" w:rsidP="000119F8">
      <w:pPr>
        <w:jc w:val="both"/>
        <w:rPr>
          <w:sz w:val="24"/>
          <w:szCs w:val="24"/>
          <w:lang w:val="lt-LT"/>
        </w:rPr>
      </w:pPr>
      <w:r>
        <w:rPr>
          <w:sz w:val="24"/>
          <w:szCs w:val="24"/>
          <w:lang w:val="lt-LT"/>
        </w:rPr>
        <w:t>5p. Daugiausia priima sprendimus, kuriems nereikia kitos valstybės ar savivaldybės įstaigos patvirtinimo.</w:t>
      </w:r>
    </w:p>
    <w:p w:rsidR="000119F8" w:rsidRDefault="000119F8" w:rsidP="000119F8">
      <w:pPr>
        <w:jc w:val="both"/>
        <w:rPr>
          <w:sz w:val="24"/>
          <w:szCs w:val="24"/>
          <w:lang w:val="lt-LT"/>
        </w:rPr>
      </w:pPr>
      <w:r>
        <w:rPr>
          <w:sz w:val="24"/>
          <w:szCs w:val="24"/>
          <w:lang w:val="lt-LT"/>
        </w:rPr>
        <w:t>6p. Naudojama valstybės ar tarnybos paslaptį sudaranti informacija.</w:t>
      </w:r>
    </w:p>
    <w:p w:rsidR="000119F8" w:rsidRDefault="000119F8" w:rsidP="000119F8">
      <w:pPr>
        <w:jc w:val="both"/>
        <w:rPr>
          <w:sz w:val="24"/>
          <w:szCs w:val="24"/>
          <w:lang w:val="lt-LT"/>
        </w:rPr>
      </w:pPr>
      <w:r>
        <w:rPr>
          <w:sz w:val="24"/>
          <w:szCs w:val="24"/>
          <w:lang w:val="lt-LT"/>
        </w:rPr>
        <w:t>7p. Anksčiau atlikus korupcijos rizikos analizę, buvo nustatyta trūkumų.</w:t>
      </w:r>
    </w:p>
    <w:p w:rsidR="000119F8" w:rsidRDefault="000119F8" w:rsidP="000119F8">
      <w:pPr>
        <w:jc w:val="both"/>
        <w:rPr>
          <w:sz w:val="24"/>
          <w:szCs w:val="24"/>
          <w:lang w:val="lt-LT"/>
        </w:rPr>
      </w:pPr>
    </w:p>
    <w:p w:rsidR="000119F8" w:rsidRDefault="000119F8" w:rsidP="000119F8">
      <w:pPr>
        <w:jc w:val="both"/>
        <w:rPr>
          <w:sz w:val="24"/>
          <w:szCs w:val="24"/>
          <w:lang w:val="lt-LT"/>
        </w:rPr>
      </w:pPr>
      <w:r>
        <w:rPr>
          <w:sz w:val="24"/>
          <w:szCs w:val="24"/>
          <w:lang w:val="lt-LT"/>
        </w:rPr>
        <w:t>Klaipėdos lopšelio-darželio „Berželis“ veiklos sričių, kuriuose egzistuoja didelė korupcijos pasireiškimo tikimybė vertinimo išvada.</w:t>
      </w:r>
    </w:p>
    <w:p w:rsidR="000119F8" w:rsidRDefault="000119F8" w:rsidP="000119F8">
      <w:pPr>
        <w:jc w:val="both"/>
        <w:rPr>
          <w:sz w:val="24"/>
          <w:szCs w:val="24"/>
          <w:lang w:val="lt-LT"/>
        </w:rPr>
      </w:pPr>
    </w:p>
    <w:p w:rsidR="000119F8" w:rsidRPr="00096485" w:rsidRDefault="000119F8" w:rsidP="000119F8">
      <w:pPr>
        <w:jc w:val="both"/>
        <w:rPr>
          <w:b/>
          <w:sz w:val="24"/>
          <w:szCs w:val="24"/>
          <w:lang w:val="lt-LT"/>
        </w:rPr>
      </w:pPr>
      <w:r w:rsidRPr="00096485">
        <w:rPr>
          <w:b/>
          <w:sz w:val="24"/>
          <w:szCs w:val="24"/>
          <w:lang w:val="lt-LT"/>
        </w:rPr>
        <w:t xml:space="preserve">Vertinimo metu nustatyti </w:t>
      </w:r>
      <w:r>
        <w:rPr>
          <w:b/>
          <w:sz w:val="24"/>
          <w:szCs w:val="24"/>
          <w:lang w:val="lt-LT"/>
        </w:rPr>
        <w:t xml:space="preserve"> korupcijos </w:t>
      </w:r>
      <w:r w:rsidRPr="00096485">
        <w:rPr>
          <w:b/>
          <w:sz w:val="24"/>
          <w:szCs w:val="24"/>
          <w:lang w:val="lt-LT"/>
        </w:rPr>
        <w:t>rizikos veiksniai:</w:t>
      </w:r>
    </w:p>
    <w:p w:rsidR="000119F8" w:rsidRDefault="000119F8" w:rsidP="000119F8">
      <w:pPr>
        <w:jc w:val="both"/>
        <w:rPr>
          <w:sz w:val="24"/>
          <w:szCs w:val="24"/>
          <w:lang w:val="lt-LT"/>
        </w:rPr>
      </w:pPr>
      <w:r>
        <w:rPr>
          <w:sz w:val="24"/>
          <w:szCs w:val="24"/>
          <w:lang w:val="lt-LT"/>
        </w:rPr>
        <w:t>Rizikos veiksniai nenustatyti.</w:t>
      </w:r>
    </w:p>
    <w:p w:rsidR="000119F8" w:rsidRDefault="000119F8" w:rsidP="000119F8">
      <w:pPr>
        <w:jc w:val="both"/>
        <w:rPr>
          <w:sz w:val="24"/>
          <w:szCs w:val="24"/>
          <w:lang w:val="lt-LT"/>
        </w:rPr>
      </w:pPr>
    </w:p>
    <w:p w:rsidR="000119F8" w:rsidRDefault="000119F8" w:rsidP="000119F8">
      <w:pPr>
        <w:jc w:val="both"/>
        <w:rPr>
          <w:sz w:val="24"/>
          <w:szCs w:val="24"/>
          <w:lang w:val="lt-LT"/>
        </w:rPr>
      </w:pPr>
    </w:p>
    <w:p w:rsidR="000119F8" w:rsidRDefault="000119F8" w:rsidP="000119F8">
      <w:pPr>
        <w:jc w:val="both"/>
        <w:rPr>
          <w:sz w:val="24"/>
          <w:szCs w:val="24"/>
          <w:lang w:val="lt-LT"/>
        </w:rPr>
      </w:pPr>
      <w:r>
        <w:rPr>
          <w:sz w:val="24"/>
          <w:szCs w:val="24"/>
          <w:lang w:val="lt-LT"/>
        </w:rPr>
        <w:t>Direktorė</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0845AD">
        <w:rPr>
          <w:sz w:val="24"/>
          <w:szCs w:val="24"/>
          <w:lang w:val="lt-LT"/>
        </w:rPr>
        <w:t xml:space="preserve">                   </w:t>
      </w:r>
      <w:bookmarkStart w:id="0" w:name="_GoBack"/>
      <w:bookmarkEnd w:id="0"/>
      <w:r>
        <w:rPr>
          <w:sz w:val="24"/>
          <w:szCs w:val="24"/>
          <w:lang w:val="lt-LT"/>
        </w:rPr>
        <w:t>Birutė Maknavičienė</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rsidR="008977CC" w:rsidRPr="000119F8" w:rsidRDefault="008977CC">
      <w:pPr>
        <w:rPr>
          <w:lang w:val="lt-LT"/>
        </w:rPr>
      </w:pPr>
    </w:p>
    <w:sectPr w:rsidR="008977CC" w:rsidRPr="000119F8" w:rsidSect="00C8727C">
      <w:pgSz w:w="11906" w:h="16838" w:code="9"/>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6934"/>
    <w:multiLevelType w:val="hybridMultilevel"/>
    <w:tmpl w:val="796EEA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22E52DA"/>
    <w:multiLevelType w:val="hybridMultilevel"/>
    <w:tmpl w:val="93F251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F8"/>
    <w:rsid w:val="000119F8"/>
    <w:rsid w:val="000845AD"/>
    <w:rsid w:val="0015577D"/>
    <w:rsid w:val="008977CC"/>
    <w:rsid w:val="00A36E69"/>
    <w:rsid w:val="00B318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8D15D-B1D9-4FEC-AC9E-590B5640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119F8"/>
    <w:pPr>
      <w:autoSpaceDE w:val="0"/>
      <w:autoSpaceDN w:val="0"/>
      <w:spacing w:after="0" w:line="240" w:lineRule="auto"/>
    </w:pPr>
    <w:rPr>
      <w:rFonts w:ascii="Times New Roman" w:eastAsia="Times New Roman" w:hAnsi="Times New Roman" w:cs="Times New Roman"/>
      <w:sz w:val="20"/>
      <w:szCs w:val="20"/>
      <w:lang w:val="en-AU"/>
    </w:rPr>
  </w:style>
  <w:style w:type="paragraph" w:styleId="Antrat1">
    <w:name w:val="heading 1"/>
    <w:basedOn w:val="prastasis"/>
    <w:next w:val="prastasis"/>
    <w:link w:val="Antrat1Diagrama"/>
    <w:qFormat/>
    <w:rsid w:val="000119F8"/>
    <w:pPr>
      <w:keepNext/>
      <w:jc w:val="center"/>
      <w:outlineLvl w:val="0"/>
    </w:pPr>
    <w:rPr>
      <w:rFonts w:ascii="HelveticaLT" w:hAnsi="HelveticaLT"/>
      <w:b/>
      <w:bCs/>
      <w:sz w:val="28"/>
      <w:szCs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119F8"/>
    <w:rPr>
      <w:rFonts w:ascii="HelveticaLT" w:eastAsia="Times New Roman" w:hAnsi="HelveticaLT" w:cs="Times New Roman"/>
      <w:b/>
      <w:bCs/>
      <w:sz w:val="28"/>
      <w:szCs w:val="28"/>
    </w:rPr>
  </w:style>
  <w:style w:type="character" w:styleId="Hipersaitas">
    <w:name w:val="Hyperlink"/>
    <w:rsid w:val="00011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zelis@balticum-tv.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3094</Words>
  <Characters>1765</Characters>
  <Application>Microsoft Office Word</Application>
  <DocSecurity>0</DocSecurity>
  <Lines>14</Lines>
  <Paragraphs>9</Paragraphs>
  <ScaleCrop>false</ScaleCrop>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cp:revision>
  <dcterms:created xsi:type="dcterms:W3CDTF">2018-01-30T11:09:00Z</dcterms:created>
  <dcterms:modified xsi:type="dcterms:W3CDTF">2018-01-30T11:12:00Z</dcterms:modified>
</cp:coreProperties>
</file>